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6"/>
          <w:szCs w:val="36"/>
        </w:rPr>
      </w:pPr>
      <w:r>
        <w:rPr>
          <w:rFonts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>什么氮化镓（GaN）</w:t>
      </w:r>
    </w:p>
    <w:p>
      <w:pPr>
        <w:keepNext w:val="0"/>
        <w:keepLines w:val="0"/>
        <w:widowControl/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氮化镓是氮和镓化合物，具体半导体特性，早期应用于发光二极管中，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它与常用的硅属于同一元素周期族，硬度高熔点高稳定性强。氮化镓材料 是研制微电子器件的重要半导体材料，具有宽带隙、高热导率等特点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>市场前景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1. GaN材料优势为功率器件性能打开提升空间，应用前景广阔 </w:t>
      </w:r>
    </w:p>
    <w:p>
      <w:pPr>
        <w:keepNext w:val="0"/>
        <w:keepLines w:val="0"/>
        <w:widowControl/>
        <w:suppressLineNumbers w:val="0"/>
        <w:ind w:left="560" w:hanging="560" w:hangingChars="20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    A.GaN材料优势 与Si相比，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GaN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具有：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倍禁带宽度、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倍击穿电场强度、 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2.5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倍饱和载流子速度、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1.5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倍电子迁移率；因此，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GaN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材料在功率与微波领域可大幅提升器件与系统的功率密度、工作频率与能量转换效率，实现绿色功率与微波器件技术。</w:t>
      </w:r>
    </w:p>
    <w:p>
      <w:pPr>
        <w:keepNext w:val="0"/>
        <w:keepLines w:val="0"/>
        <w:widowControl/>
        <w:suppressLineNumbers w:val="0"/>
        <w:ind w:left="559" w:leftChars="266" w:firstLine="0" w:firstLineChars="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6087745" cy="3763010"/>
            <wp:effectExtent l="0" t="0" r="8255" b="8890"/>
            <wp:docPr id="3" name="图片 3" descr="16197037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970375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  <w:t>B.GaN功率器件优势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开关速度更快（&gt;10x）</w:t>
      </w:r>
      <w:r>
        <w:rPr>
          <w:rFonts w:ascii="Wingdings" w:hAnsi="Wingdings" w:eastAsia="宋体" w:cs="Wingdings"/>
          <w:color w:val="000000"/>
          <w:kern w:val="0"/>
          <w:sz w:val="28"/>
          <w:szCs w:val="28"/>
          <w:lang w:val="en-US" w:eastAsia="zh-CN" w:bidi="ar"/>
        </w:rPr>
        <w:t>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减小无源器件需求</w:t>
      </w:r>
      <w:r>
        <w:rPr>
          <w:rFonts w:hint="default" w:ascii="Wingdings" w:hAnsi="Wingdings" w:eastAsia="宋体" w:cs="Wingdings"/>
          <w:color w:val="000000"/>
          <w:kern w:val="0"/>
          <w:sz w:val="28"/>
          <w:szCs w:val="28"/>
          <w:lang w:val="en-US" w:eastAsia="zh-CN" w:bidi="ar"/>
        </w:rPr>
        <w:t>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系统体 积更小成本更低；开关损耗小（&lt;1/3）</w:t>
      </w:r>
      <w:r>
        <w:rPr>
          <w:rFonts w:hint="default" w:ascii="Wingdings" w:hAnsi="Wingdings" w:eastAsia="宋体" w:cs="Wingdings"/>
          <w:color w:val="000000"/>
          <w:kern w:val="0"/>
          <w:sz w:val="28"/>
          <w:szCs w:val="28"/>
          <w:lang w:val="en-US" w:eastAsia="zh-CN" w:bidi="ar"/>
        </w:rPr>
        <w:t>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系统能效更高； 耐高温抗辐照</w:t>
      </w:r>
      <w:r>
        <w:rPr>
          <w:rFonts w:hint="default" w:ascii="Wingdings" w:hAnsi="Wingdings" w:eastAsia="宋体" w:cs="Wingdings"/>
          <w:color w:val="000000"/>
          <w:kern w:val="0"/>
          <w:sz w:val="28"/>
          <w:szCs w:val="28"/>
          <w:lang w:val="en-US" w:eastAsia="zh-CN" w:bidi="ar"/>
        </w:rPr>
        <w:t>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拓展半导体器件在特殊环境中的应用。</w:t>
      </w:r>
    </w:p>
    <w:p>
      <w:pPr>
        <w:keepNext w:val="0"/>
        <w:keepLines w:val="0"/>
        <w:widowControl/>
        <w:suppressLineNumbers w:val="0"/>
        <w:ind w:left="279" w:leftChars="133" w:firstLine="0" w:firstLineChars="0"/>
        <w:jc w:val="left"/>
      </w:pPr>
      <w:bookmarkStart w:id="0" w:name="_GoBack"/>
      <w:r>
        <w:drawing>
          <wp:inline distT="0" distB="0" distL="114300" distR="114300">
            <wp:extent cx="5269230" cy="4170680"/>
            <wp:effectExtent l="0" t="0" r="762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keepNext w:val="0"/>
        <w:keepLines w:val="0"/>
        <w:widowControl/>
        <w:suppressLineNumbers w:val="0"/>
        <w:ind w:left="279" w:leftChars="133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428615" cy="4045585"/>
            <wp:effectExtent l="0" t="0" r="635" b="12065"/>
            <wp:docPr id="5" name="图片 5" descr="16197044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970447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559" w:leftChars="266" w:firstLine="0" w:firstLineChars="0"/>
        <w:jc w:val="left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 GaN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功率器件市场容量大，渗透率低，具有巨大增长空间 </w:t>
      </w:r>
    </w:p>
    <w:p>
      <w:pPr>
        <w:keepNext w:val="0"/>
        <w:keepLines w:val="0"/>
        <w:widowControl/>
        <w:suppressLineNumbers w:val="0"/>
        <w:ind w:left="280" w:hanging="320" w:hangingChars="1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以快充产品为代表的消费类应用迅速上量，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GaN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功率器件迎来高速增长 </w:t>
      </w:r>
    </w:p>
    <w:p>
      <w:pPr>
        <w:keepNext w:val="0"/>
        <w:keepLines w:val="0"/>
        <w:widowControl/>
        <w:suppressLineNumbers w:val="0"/>
        <w:ind w:left="317" w:leftChars="151" w:firstLine="0" w:firstLineChars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A.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据</w:t>
      </w:r>
      <w:r>
        <w:rPr>
          <w:rFonts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Yole Development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预测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GaN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功率器件市场规模将达到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 xml:space="preserve">4.5 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亿美元，年复合增长率</w:t>
      </w:r>
      <w:r>
        <w:rPr>
          <w:rFonts w:hint="default" w:ascii="Calibri Light" w:hAnsi="Calibri Light" w:eastAsia="Calibri Light" w:cs="Calibri Light"/>
          <w:b/>
          <w:bCs/>
          <w:color w:val="ED7D31"/>
          <w:kern w:val="0"/>
          <w:sz w:val="31"/>
          <w:szCs w:val="31"/>
          <w:lang w:val="en-US" w:eastAsia="zh-CN" w:bidi="ar"/>
        </w:rPr>
        <w:t>91%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left="317" w:leftChars="151" w:firstLine="0" w:firstLineChars="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31"/>
          <w:szCs w:val="31"/>
          <w:lang w:val="en-US" w:eastAsia="zh-CN" w:bidi="ar"/>
        </w:rPr>
        <w:t>B.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当前增长最快的是以手机快充为 代表的消费类应用。该领域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 xml:space="preserve">2019 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年、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GaN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器件销量分别为 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200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万、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万颗，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年预计超 过</w:t>
      </w:r>
      <w:r>
        <w:rPr>
          <w:rFonts w:hint="default" w:ascii="Calibri Light" w:hAnsi="Calibri Light" w:eastAsia="Calibri Light" w:cs="Calibri Light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亿颗，呈指数型增长态势。</w:t>
      </w:r>
    </w:p>
    <w:p>
      <w:pPr>
        <w:keepNext w:val="0"/>
        <w:keepLines w:val="0"/>
        <w:widowControl/>
        <w:suppressLineNumbers w:val="0"/>
        <w:ind w:left="319" w:hanging="210" w:hangingChars="10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drawing>
          <wp:inline distT="0" distB="0" distL="114300" distR="114300">
            <wp:extent cx="5270500" cy="2781935"/>
            <wp:effectExtent l="0" t="0" r="6350" b="184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280" w:hanging="280" w:hangingChars="10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第三代半导体升至国家十四五计划，</w:t>
      </w:r>
      <w:r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GaN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功率器件迎来发展黄期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楷体" w:hAnsi="楷体" w:eastAsia="楷体" w:cs="楷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6"/>
          <w:szCs w:val="36"/>
          <w:lang w:val="en-US" w:eastAsia="zh-CN" w:bidi="ar"/>
        </w:rPr>
        <w:t>氮化镓充电器的优势</w:t>
      </w:r>
    </w:p>
    <w:p>
      <w:pPr>
        <w:keepNext w:val="0"/>
        <w:keepLines w:val="0"/>
        <w:widowControl/>
        <w:suppressLineNumbers w:val="0"/>
        <w:ind w:left="280" w:hanging="280" w:hangingChars="100"/>
        <w:jc w:val="left"/>
        <w:rPr>
          <w:sz w:val="28"/>
          <w:szCs w:val="28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氮化镓充电器跟普通充电器相比，只是所用功率器件不同，功能几乎无区别。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优点：体积小、安全与普通半导体的硅材料相比，氮化镓的带隙更宽且导热好，能够匹配体积更小的变压器，滤波器和大功率电感等，所以氮化镓充电器有体 积小、效率高、更安全等优势。 </w:t>
      </w:r>
    </w:p>
    <w:p>
      <w:pPr>
        <w:keepNext w:val="0"/>
        <w:keepLines w:val="0"/>
        <w:widowControl/>
        <w:suppressLineNumbers w:val="0"/>
        <w:ind w:left="280" w:hanging="280" w:hangingChars="10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近来的旗舰手机，平板和电脑为了实现更快的充电速度，充电器功率都比较大， 65W 120W充电器开始流行。更大的充电功率就意味着充电器的尺寸也在变大， 并且发热严重。改用氮化镓技术后，充电器的元器件可以更小，充电器体积大 幅缩小；同时氮化镓充电器也能保持高效和低温的工作状态，安全性更好。</w:t>
      </w:r>
    </w:p>
    <w:p>
      <w:pPr>
        <w:keepNext w:val="0"/>
        <w:keepLines w:val="0"/>
        <w:widowControl/>
        <w:suppressLineNumbers w:val="0"/>
        <w:ind w:left="280" w:hanging="280" w:hangingChars="100"/>
        <w:jc w:val="left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-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5F8A"/>
    <w:rsid w:val="5521569A"/>
    <w:rsid w:val="66C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2021-04-29T13:11:00Z</dcterms:created>
  <dc:creator>Administrator</dc:creator>
  <cp:lastModifiedBy>吴均明</cp:lastModifiedBy>
  <dcterms:modified xsi:type="dcterms:W3CDTF">2021-04-30T00:34:50Z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87298F27A4F14D888D6F5CB9CD224690</vt:lpwstr>
  </property>
</Properties>
</file>